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66" w:rsidRDefault="00127966" w:rsidP="0012796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казённое учреждение «Единая дежурно – диспетчерская служба, гражданская защита муниципального округа город Партизанск»</w:t>
      </w:r>
    </w:p>
    <w:p w:rsidR="00127966" w:rsidRPr="00127966" w:rsidRDefault="00127966" w:rsidP="0012796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7966" w:rsidRDefault="00127966" w:rsidP="001279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хранения, ношения, транспортирования и использования гражданского оружия, меры ответственности за их нарушение в соответствии с законодательством Р</w:t>
      </w:r>
      <w:r w:rsidR="001B64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оссийской Федерации</w:t>
      </w:r>
      <w:bookmarkStart w:id="0" w:name="_GoBack"/>
      <w:bookmarkEnd w:id="0"/>
    </w:p>
    <w:p w:rsidR="00127966" w:rsidRPr="00127966" w:rsidRDefault="00127966" w:rsidP="001279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27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«Об оружии» № 150 -1996 года и Постановление Правительс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тва РФ № 814 от 21 июля 1998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proofErr w:type="spellEnd"/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мерах по регулированию оборота гражданского и служебного оружия и патронов к нему на территории Российской Федерации» четко определяют правила хранения принадлежащего гражданам Российской Федерации оружия и патронов, которые: «должны храниться по месту их проживания с соблюдением условий, обеспечивающих их сохранность, безопасность хранения и исключающих доступ к ним посторонних лиц, в запирающихся на замок сейфах или металлических шкафах, ящиках из высокопрочных материалов либо в деревянных ящиках, обитых железом. (Специальных требований к замку не предъявляется. Он может быть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езным, накладным или навесным.).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внутренних дел по месту жительства владельцев имеют право проверять условия хранения, зарегистрированного ими оружия. </w:t>
      </w:r>
    </w:p>
    <w:p w:rsidR="00127966" w:rsidRP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оружия и патронов гражданами Российской Федерации должно осуществляться с соблюдением условий, исключающих доступ к оружию посторонних лиц.</w:t>
      </w:r>
    </w:p>
    <w:p w:rsidR="00127966" w:rsidRP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сохранности гражданского оружия, владельцам рекомендуется постановка квартир, домовладений, под охрану на пульт централизованной охраны Отдела вневедомств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охраны.</w:t>
      </w:r>
    </w:p>
    <w:p w:rsidR="00127966" w:rsidRPr="00127966" w:rsidRDefault="00127966" w:rsidP="001279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Ношение и использование оружия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п.п. 62 – 64, 67, 68 Правил, ношение оружия осуществляется на основании выданных органами внутренних дел лицензий либо разрешений на хранение и ношение конкретных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видов, типов и моделей оружия.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оружия осуществляется на основании выданных органами внутренних дел лицензий либо разрешений на хранение и ношение конкретных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идов, типов и моделей оружия: </w:t>
      </w: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 Российской Федерации во время охоты, проведения спортивных мероприятий,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 и учебных стрельб.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огнестрельного длинноствольного оружия осуществляется в расчехленном состоянии, со снаряженным магазином или барабаном, поставленным на предохранитель, а огнестрельного короткоствольного оружия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кобуре в аналогичном виде.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Досылание патрона в патронник разрешается только при необходимости применения оружия либо для защиты жизни, здоровья и </w:t>
      </w: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собственности в состоянии необходимой обороны или крайней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лицензии на приобретение, хранение и ношение газового оружия самообороны в обязательном порядке должна стоять отметка о его постановке на учет в органах внутренних дел по месту жительства гражданина Российской Федерации. 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стаже владения указанным видом оружия менее пяти лет, в лицензии так же должна иметься отметка юридического лица-поставщика, имеющего право осуществлять торговлю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жданским оружием о его продаже.</w:t>
      </w:r>
    </w:p>
    <w:p w:rsidR="00127966" w:rsidRP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п.п. 2 – 2.1 ст. 6 Федерального закона «Об оружии» от 13.12.1996 № 150-ФЗ на территории Российской Федерации запрещается:</w:t>
      </w: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ношение и перевозка в границах населенных пунктов пневматического оружия в заряженном или снаряженном состоянии, а также использование такого оружия в границах населенных пунктов вне помещений и участков местности, специально приспособленных для спортивной стрельбы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и согласованными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ношение гражданами оружия при проведении митингов, уличных шествий, демонстраций, пикетирования и других массовых публичных мероприятий;</w:t>
      </w: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ношение гражданами в целях самообороны огнестрельного длинноствольного оружия и холодного оружия, за исключением случаев перевозки или транспортирования указанного оружия.</w:t>
      </w:r>
    </w:p>
    <w:p w:rsidR="00FD68DF" w:rsidRDefault="00FD68DF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966" w:rsidRP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 обращения огнестрельного оружия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Владелец оружия должен обращаться с оружием так, как будто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заряжено и готово к выстрелу.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Приступать к стрельбе из оружия только после изучения его устройства, порядка взаимодействия составных частей, приемов разборки, сборки, заряжания и </w:t>
      </w:r>
      <w:proofErr w:type="spellStart"/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разряжания</w:t>
      </w:r>
      <w:proofErr w:type="spellEnd"/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методов прицеливания и ведения 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льбы, а также настоящих Правил.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Соблюдать требования безопасности, изложенные в паспорте (инструкции по эксплуатац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ии) конкретного образца оружия.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Проверять каналы стволов до и после стрельбы на наличие в них посторонних предметов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необходимости удалять их.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осечки открывать затвор оружия не ранее чем через 5 секунд во избежание последствий затяжного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выстрела при открытом затворе.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Транспортировать оружие разряженным и упакованным в транспортную тару, футляр или чехол. 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перевозке и транспортировании патроны могут быть упакованы в одну укупорку с оружием без досылания в патронник, 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аряжения магазина или барабана.</w:t>
      </w:r>
    </w:p>
    <w:p w:rsidR="00127966" w:rsidRP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7. Хранить оружие и патроны в местах проживания в запирающихся на замок сейфах или металлических шкафах, ящиках из высокопрочных материалов либо в деревянных ящиках, обитых железом, в сухом помещении, при этом оружие должно быть разряжено и поставлено на предохранитель, а патроны находиться в упаковке отдельно от оружия, не ближе 1 метра от источников тепла и электронагревательных приборов.</w:t>
      </w:r>
    </w:p>
    <w:p w:rsidR="00FD68DF" w:rsidRDefault="00127966" w:rsidP="00FD68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FD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апрещается: 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Направлять оружие на человека, даже если оно не заряжено, либо в сторону людей, домашних животных, зданий и сооружений, за исключением случ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аев самообороны.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Досылать патрон в патронник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ствола силой либо забивать его.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Стрелять из неустойчивых положений или одновременно из дву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стволов двуствольного оружия.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Применять патроны, не предназначенные для 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льбы из данного образца оружия.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Использовать для стрельбы неисправные патроны, патроны с истекшим сроком годности и осечные патроны либо патроны, снаряженные предметами, не предназначенными для использования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поражающих элементов.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Самостоятельно производить ремонт основных узлов и механизмов оружия, вносить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конструктивные изменения.</w:t>
      </w:r>
    </w:p>
    <w:p w:rsid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7. Хранить оружие и патроны в одном помещении с горючими, легковоспламеняющимися и хими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 агрессивными материалами.</w:t>
      </w:r>
    </w:p>
    <w:p w:rsidR="00127966" w:rsidRP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Осуществлять ношение, транспортирование и использование оружия, а также снаряжение патронов в состоянии опьянения (алкогольного, наркотического и иного), под воздействием лекарственных препаратов, ставящих под угрозу безопасность владельца оружия и окружающих его людей.</w:t>
      </w:r>
    </w:p>
    <w:p w:rsidR="00FD68DF" w:rsidRDefault="00FD68DF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D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еремещение оружия по территории субъектов Российской Федерации. 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действующими нормативными правовыми актами, регламентирующими оборот оружия, граждане – владельцы оружия осуществляют транспортировку оружия по всей территории Российской Федерации, т.е. перемещают его с использованием различных видов транспорта (автомобильного, ж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елезнодорожного, авиационного).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75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г. № 814 (далее – Правил), без разрешений органов внутренних дел осуществляется транс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портирование оружия и патронов: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государственными военизированными организациями в порядке, уст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ановленном этими организациями;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юридическими и физическими лицами в пределах территорий субъектов Российской Федерации, органами внутренних дел которых данное оружи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патроны поставлены на учет;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гражданами Российской Федерации, имеющими на законных основаниях спортивное и охотничье оружие, для участия в охоте и спортивных мероприятиях на основании разрешений органов внутренних де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л на хранение и ношение оружия;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гражданами Российской Федерации, имеющими на законных основаниях огнестрельное гладкоствольное длинноствольное оружие, приобретенное в целях самообороны без права ношения;</w:t>
      </w:r>
    </w:p>
    <w:p w:rsidR="00FD68DF" w:rsidRDefault="00FD68DF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27966"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подлежащих регист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 органах внутренних дел.</w:t>
      </w:r>
    </w:p>
    <w:p w:rsidR="00FD68DF" w:rsidRDefault="00FD68DF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б</w:t>
      </w:r>
      <w:r w:rsidR="00127966"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специального разрешения разрешено транспортировать оружие в пределах того субъекта Российской Федерации, где оно поставлено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учет.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77 Правил, граждане Российской Федерации осуществляют транспортирование оружия в количестве не более 5 единиц и патронов не более 400 штук на основании разрешений органов внутренних дел на хранение или хранение и ношение соответствующих видов, типов и моделей оружия либо лицензий на их приобретение, коллекц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ионирование или экспонирование.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транспортировании оружия и патронов в количестве более 5 единиц и 400 штук владельцы оружия получают в органах внутренних дел по месту регистрации р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транспортирование.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транспортировании гражданами оружия в другой субъект РФ в соответствии с приказом МВД России от 14 мая 2012 г. № 509 необходимо получить разрешение органа внутренних дел на транспортирование оружия серии РТГ, выдавшего лицензию или разреш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 его хранение и ношение.</w:t>
      </w:r>
    </w:p>
    <w:p w:rsidR="00FD68DF" w:rsidRPr="006C3676" w:rsidRDefault="00127966" w:rsidP="006C36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разрешении на транспортирование указываются виды (типы) перемещаемого оружия, данные лицензии (разрешения), а также маршрут следования (от начального до конечного пункта).</w:t>
      </w:r>
    </w:p>
    <w:p w:rsidR="00127966" w:rsidRPr="00127966" w:rsidRDefault="00127966" w:rsidP="00FD68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нарушения оборота оружия и патронов к нему устанавливаются: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Уголовным кодексом Российской Федерации ст. 222 – 226</w:t>
      </w: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Кодексом Российской Федерации об административных пра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 ст. 20.8 – 20.13.: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Нарушение правил хранения, ношения или уничтожения оружия и патронов к нему гражданами – влечет наложение административного штрафа в размере от 500руб. до 2000 </w:t>
      </w:r>
      <w:proofErr w:type="spellStart"/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либо лишение права на приобретение и хранение или хранение и ношение оружия на срок от шести месяцев до одн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года (ст. 20.8ч.4 КоАП РФ).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Нарушение сроков регистрации (перерегистрации) оружия или сроков постановки его на учет – влечет предупреждение или наложение административного штрафа в размере от 1000тыс.руб. до 3000тыс.руб. 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(ст.20.11ч.1 КоАП РФ).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3). Нарушение правил перевозки, транспортирования оружия и патронов к нему – влечет наложение административного штрафа в размере от 1000тыс.руб. до 1500тыс.руб. (ст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>. 20.12.ч.2 КоАП РФ).</w:t>
      </w:r>
    </w:p>
    <w:p w:rsidR="00127966" w:rsidRPr="00127966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4). Стрельба из оружия в не отведенных для этого местах влечет- наложение административного штрафа в размере от 2000 руб. до 5000 тыс.</w:t>
      </w:r>
      <w:r w:rsidR="00FD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с конфискацией оружия и патронов к нему либо лишение права на приобретение и хранение или хранение и ношение оружия на срок от одного года до трех лет с конфискацией оружия и патронов к нему (ст. 20.13 КоАП РФ).</w:t>
      </w:r>
    </w:p>
    <w:p w:rsidR="00FD68DF" w:rsidRDefault="00127966" w:rsidP="00127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ФЗ «Об оружии» владельцы, совершившие повторно в течение года административное правонарушение, посягающее на общественный порядок и общественную безопасность или установленный порядок управления, либо административное правонарушение в области незаконного оборота наркотических средств, психотропных веществ или их аналогов и потребления без назначения врача наркотических средств или психотропных веществ, будут лишены права на хранение, ношение или приобретение гражданского оружия. </w:t>
      </w:r>
    </w:p>
    <w:p w:rsidR="006C3676" w:rsidRPr="006C3676" w:rsidRDefault="00127966" w:rsidP="006C3676">
      <w:pPr>
        <w:shd w:val="clear" w:color="auto" w:fill="FFFFFF"/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1279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вправе обратиться за их получением по истечение одного года со дня окончания срока наложения административного наказания в виде лишения права на приобретение оружия либо права на хранение или хранение и ношение оружия или со дня устранения обстоятельств, исключающих в соответствии с ФЗ «Об оружии» возможность получения таких лицензий и (или) разрешений.</w:t>
      </w:r>
    </w:p>
    <w:p w:rsidR="006C3676" w:rsidRPr="006C3676" w:rsidRDefault="006C3676" w:rsidP="006C3676">
      <w:pPr>
        <w:pStyle w:val="a4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6C3676">
        <w:rPr>
          <w:rStyle w:val="a5"/>
          <w:bCs w:val="0"/>
          <w:sz w:val="28"/>
          <w:szCs w:val="28"/>
        </w:rPr>
        <w:t>Памятка</w:t>
      </w:r>
      <w:r w:rsidRPr="006C3676">
        <w:rPr>
          <w:rStyle w:val="a5"/>
          <w:bCs w:val="0"/>
          <w:sz w:val="28"/>
          <w:szCs w:val="28"/>
        </w:rPr>
        <w:t xml:space="preserve"> «</w:t>
      </w:r>
      <w:r w:rsidRPr="006C3676">
        <w:rPr>
          <w:rStyle w:val="a5"/>
          <w:bCs w:val="0"/>
          <w:sz w:val="28"/>
          <w:szCs w:val="28"/>
        </w:rPr>
        <w:t>Как передать свое оружие на нужды СВО</w:t>
      </w:r>
      <w:r w:rsidRPr="006C3676">
        <w:rPr>
          <w:rStyle w:val="a5"/>
          <w:bCs w:val="0"/>
          <w:sz w:val="28"/>
          <w:szCs w:val="28"/>
        </w:rPr>
        <w:t>»</w:t>
      </w:r>
      <w:r w:rsidRPr="006C3676">
        <w:rPr>
          <w:rStyle w:val="a5"/>
          <w:bCs w:val="0"/>
          <w:sz w:val="28"/>
          <w:szCs w:val="28"/>
        </w:rPr>
        <w:t>.</w:t>
      </w:r>
    </w:p>
    <w:p w:rsidR="006C3676" w:rsidRDefault="006C3676" w:rsidP="006C367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6C3676">
        <w:rPr>
          <w:rStyle w:val="a5"/>
          <w:b w:val="0"/>
          <w:bCs w:val="0"/>
          <w:sz w:val="28"/>
          <w:szCs w:val="28"/>
        </w:rPr>
        <w:t xml:space="preserve">Учитывая востребованность охотничьего длинноствольного гладкоствольного и нарезного оружия, а также патронов к ним в ходе спецоперации, граждане могут передавать указанное оружие и патроны в </w:t>
      </w:r>
      <w:proofErr w:type="spellStart"/>
      <w:r w:rsidRPr="006C3676">
        <w:rPr>
          <w:rStyle w:val="a5"/>
          <w:b w:val="0"/>
          <w:bCs w:val="0"/>
          <w:sz w:val="28"/>
          <w:szCs w:val="28"/>
        </w:rPr>
        <w:t>Росгвардию</w:t>
      </w:r>
      <w:proofErr w:type="spellEnd"/>
      <w:r w:rsidRPr="006C3676">
        <w:rPr>
          <w:rStyle w:val="a5"/>
          <w:b w:val="0"/>
          <w:bCs w:val="0"/>
          <w:sz w:val="28"/>
          <w:szCs w:val="28"/>
        </w:rPr>
        <w:t xml:space="preserve"> и другие военизированные организации для дальнейшего использования в соответствии с законом «Об оружии».</w:t>
      </w:r>
    </w:p>
    <w:p w:rsidR="006C3676" w:rsidRPr="006C3676" w:rsidRDefault="006C3676" w:rsidP="006C367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6C3676">
        <w:rPr>
          <w:sz w:val="28"/>
          <w:szCs w:val="28"/>
        </w:rPr>
        <w:t>Желающие передать свое оружие в зону СВО для использования бойцами против дронов противника, могут обратиться с соответствующим заявлением в подразделения лицензионно-разрешительной работы Росгвардии.</w:t>
      </w:r>
    </w:p>
    <w:p w:rsidR="006C3676" w:rsidRPr="006C3676" w:rsidRDefault="006C3676" w:rsidP="006C367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6C3676">
        <w:rPr>
          <w:sz w:val="28"/>
          <w:szCs w:val="28"/>
        </w:rPr>
        <w:t>Оружие, в таком случае, передается в воинскую часть с последующей постановкой на баланс.</w:t>
      </w:r>
    </w:p>
    <w:p w:rsidR="006C3676" w:rsidRDefault="006C3676" w:rsidP="006C367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6C3676">
        <w:rPr>
          <w:sz w:val="28"/>
          <w:szCs w:val="28"/>
        </w:rPr>
        <w:t xml:space="preserve">Прием у граждан, изъявивших желание передать оружие в зону СВО, осуществляется на основании соответствующего договора пожертвования и акта приема-передачи. </w:t>
      </w:r>
    </w:p>
    <w:p w:rsidR="006C3676" w:rsidRPr="006C3676" w:rsidRDefault="006C3676" w:rsidP="006C367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6C3676">
        <w:rPr>
          <w:sz w:val="28"/>
          <w:szCs w:val="28"/>
        </w:rPr>
        <w:t>Специалисты подразделения лицензионно-разрешительной работы Росгвардии объяснят процедуру и помогут с передачей оружия в Минобороны.</w:t>
      </w:r>
    </w:p>
    <w:p w:rsidR="006C3676" w:rsidRPr="006C3676" w:rsidRDefault="006C3676" w:rsidP="006C36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3676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 город Партизанск Приморского края.</w:t>
      </w:r>
    </w:p>
    <w:sectPr w:rsidR="006C3676" w:rsidRPr="006C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04"/>
    <w:rsid w:val="00127966"/>
    <w:rsid w:val="001B6450"/>
    <w:rsid w:val="006C3676"/>
    <w:rsid w:val="006D7704"/>
    <w:rsid w:val="00D94232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1B28"/>
  <w15:chartTrackingRefBased/>
  <w15:docId w15:val="{5D44DDDF-4975-4307-82BB-2EE73C4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279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79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eta-date">
    <w:name w:val="meta-date"/>
    <w:basedOn w:val="a0"/>
    <w:rsid w:val="00127966"/>
  </w:style>
  <w:style w:type="character" w:styleId="a3">
    <w:name w:val="Hyperlink"/>
    <w:basedOn w:val="a0"/>
    <w:uiPriority w:val="99"/>
    <w:semiHidden/>
    <w:unhideWhenUsed/>
    <w:rsid w:val="00127966"/>
    <w:rPr>
      <w:color w:val="0000FF"/>
      <w:u w:val="single"/>
    </w:rPr>
  </w:style>
  <w:style w:type="character" w:customStyle="1" w:styleId="meta-category">
    <w:name w:val="meta-category"/>
    <w:basedOn w:val="a0"/>
    <w:rsid w:val="00127966"/>
  </w:style>
  <w:style w:type="paragraph" w:styleId="a4">
    <w:name w:val="Normal (Web)"/>
    <w:basedOn w:val="a"/>
    <w:uiPriority w:val="99"/>
    <w:semiHidden/>
    <w:unhideWhenUsed/>
    <w:rsid w:val="0012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7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640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2025-08-15T04:01:00Z</dcterms:created>
  <dcterms:modified xsi:type="dcterms:W3CDTF">2025-08-15T04:38:00Z</dcterms:modified>
</cp:coreProperties>
</file>